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F71D2B">
        <w:trPr>
          <w:trHeight w:val="41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F71D2B">
        <w:trPr>
          <w:trHeight w:val="399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B17F41" w:rsidRDefault="00D0370C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4a1 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1B0913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C0765E" w:rsidRDefault="00C0765E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59047B" w:rsidRPr="00C0765E" w:rsidRDefault="001F6EBC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 w:rsidR="00C0765E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ul. 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Pierwszej Brygady 35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3-110 Stargard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 Zygmunta Modzelewskiego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B17F41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 w:rsidRPr="00D0370C">
        <w:rPr>
          <w:rFonts w:asciiTheme="minorHAnsi" w:hAnsiTheme="minorHAnsi" w:cs="Arial"/>
          <w:sz w:val="18"/>
          <w:szCs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910236" w:rsidRPr="00B17F41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45"/>
        <w:gridCol w:w="1417"/>
        <w:gridCol w:w="426"/>
        <w:gridCol w:w="1133"/>
        <w:gridCol w:w="1560"/>
      </w:tblGrid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:rsidR="00AA42E2" w:rsidRPr="0059047B" w:rsidRDefault="001F6EBC" w:rsidP="0059047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>Stargardzka Agencja Rozwoju Lokalnego        Sp. z o.o.</w:t>
            </w:r>
          </w:p>
        </w:tc>
        <w:tc>
          <w:tcPr>
            <w:tcW w:w="1417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684AF0" w:rsidP="001F6EB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4"/>
                <w:szCs w:val="14"/>
                <w:lang w:eastAsia="en-US"/>
              </w:rPr>
              <w:t>biuro@sarl.pl</w:t>
            </w:r>
          </w:p>
        </w:tc>
        <w:tc>
          <w:tcPr>
            <w:tcW w:w="1417" w:type="dxa"/>
            <w:vAlign w:val="center"/>
          </w:tcPr>
          <w:p w:rsidR="00AA42E2" w:rsidRPr="00D21756" w:rsidRDefault="00244289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0171D7" w:rsidRDefault="00244289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AA42E2" w:rsidRPr="00D21756" w:rsidRDefault="00244289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:rsidR="00AA42E2" w:rsidRDefault="0068733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17" w:type="dxa"/>
            <w:vAlign w:val="center"/>
          </w:tcPr>
          <w:p w:rsidR="00AA42E2" w:rsidRPr="00D21756" w:rsidRDefault="00244289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:rsidTr="00910236">
        <w:tc>
          <w:tcPr>
            <w:tcW w:w="9889" w:type="dxa"/>
            <w:gridSpan w:val="8"/>
          </w:tcPr>
          <w:p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:rsidTr="00910236">
        <w:tc>
          <w:tcPr>
            <w:tcW w:w="1668" w:type="dxa"/>
          </w:tcPr>
          <w:p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3D35EC" w:rsidRPr="00D21756" w:rsidRDefault="00D0370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celu: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6716BC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3D35EC" w:rsidRPr="00D21756" w:rsidRDefault="00D0370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4226D4" w:rsidRPr="00D21756" w:rsidTr="00910236">
        <w:trPr>
          <w:trHeight w:val="2305"/>
        </w:trPr>
        <w:tc>
          <w:tcPr>
            <w:tcW w:w="9889" w:type="dxa"/>
            <w:gridSpan w:val="8"/>
          </w:tcPr>
          <w:p w:rsidR="00D0370C" w:rsidRDefault="00D0370C" w:rsidP="00D0370C">
            <w:pPr>
              <w:pStyle w:val="Default"/>
              <w:jc w:val="both"/>
              <w:rPr>
                <w:color w:val="auto"/>
              </w:rPr>
            </w:pP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imię, nazwisko, data urodzenia/numer PESEL, nr i seria dokumentu tożsamości.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ZBP, w zakresie niezbędnym do realizacji celów, dla których przetwarzane są te dane.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4226D4" w:rsidRP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Przysługuje Pani/Panu również prawo wniesienia skargi do organu nadzorczego zajmującego się ochroną danych osobowych.</w:t>
            </w:r>
          </w:p>
        </w:tc>
      </w:tr>
    </w:tbl>
    <w:p w:rsidR="00D40569" w:rsidRDefault="00D40569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:rsidR="00D40569" w:rsidRPr="0084321B" w:rsidRDefault="00D40569" w:rsidP="00D4056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6E4ED0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D40569" w:rsidRPr="006E4ED0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D40569" w:rsidRDefault="00D40569" w:rsidP="00D40569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411937" w:rsidRPr="00910236" w:rsidRDefault="00910236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053F2" w:rsidRPr="00910236">
        <w:rPr>
          <w:rFonts w:asciiTheme="minorHAnsi" w:hAnsiTheme="minorHAnsi" w:cs="Arial"/>
          <w:i/>
          <w:sz w:val="16"/>
          <w:szCs w:val="16"/>
        </w:rPr>
        <w:lastRenderedPageBreak/>
        <w:t xml:space="preserve">Treść wzorcowego upoważnienia osoby nie będącej konsumentem, które winien posiadać podmiot występujący do Biura Informacji Gospodarczej InfoMonitor S.A. o ujawnienie danych gospodarczych </w:t>
      </w:r>
      <w:r w:rsidR="00D053F2"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 w:rsidR="00D053F2"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:rsidTr="00F71D2B">
        <w:trPr>
          <w:trHeight w:val="464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F71D2B">
        <w:trPr>
          <w:trHeight w:val="397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D053F2" w:rsidRDefault="00D0370C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105 ust. 4a i 4a1 ustawy z dnia 29 sierpnia 1997 roku - Prawo bankowe (tj.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:rsidTr="002B4C06">
        <w:tc>
          <w:tcPr>
            <w:tcW w:w="9923" w:type="dxa"/>
            <w:gridSpan w:val="3"/>
          </w:tcPr>
          <w:p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2B4C06" w:rsidRPr="0059047B" w:rsidRDefault="001F6EBC" w:rsidP="001F6EBC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u</w:t>
            </w: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l. Pierwszej Brygady 35, 73-110 Stargard</w:t>
            </w:r>
          </w:p>
        </w:tc>
      </w:tr>
      <w:tr w:rsidR="00014493" w:rsidRPr="001140BA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InfoMonitor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:rsidR="00D053F2" w:rsidRPr="003E4268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:rsidR="001F6EBC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</w:p>
          <w:p w:rsidR="00AA42E2" w:rsidRPr="0059047B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 xml:space="preserve">Stargardzka Agencja Rozwoju Lokalnego Sp. z o.o. </w:t>
            </w:r>
          </w:p>
          <w:p w:rsidR="00AA42E2" w:rsidRDefault="00AA42E2" w:rsidP="0059047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88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C802BA" w:rsidP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2"/>
                <w:szCs w:val="12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2"/>
                <w:szCs w:val="12"/>
                <w:lang w:eastAsia="en-US"/>
              </w:rPr>
              <w:t>biuro@sarl.pl</w:t>
            </w:r>
          </w:p>
        </w:tc>
        <w:tc>
          <w:tcPr>
            <w:tcW w:w="1488" w:type="dxa"/>
            <w:vAlign w:val="center"/>
          </w:tcPr>
          <w:p w:rsidR="00AA42E2" w:rsidRPr="00D21756" w:rsidRDefault="00244289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802BA" w:rsidRPr="003B2013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244289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:rsidR="00AA42E2" w:rsidRPr="00D21756" w:rsidRDefault="00244289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="00AA42E2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488" w:type="dxa"/>
            <w:gridSpan w:val="2"/>
          </w:tcPr>
          <w:p w:rsidR="00AA42E2" w:rsidRDefault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:rsidR="00AA42E2" w:rsidRPr="00D21756" w:rsidRDefault="00244289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20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:rsidTr="001E4C4D">
        <w:tc>
          <w:tcPr>
            <w:tcW w:w="1668" w:type="dxa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pozyskania informacji gospodarczych, danych gospodarczych, informacji dotyczących zapytań lub weryfikacji wiarygodności płatniczej na podstawie udzielonego przez Panią/Pana upoważnienia*,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</w:t>
            </w:r>
          </w:p>
        </w:tc>
        <w:tc>
          <w:tcPr>
            <w:tcW w:w="2930" w:type="dxa"/>
            <w:gridSpan w:val="3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BIG InfoMonitor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gospodarczych lub weryfikacji jakości danych na zlecenie Wierzyciela, co stanowi uzasadniony interes Administratora danych, będący podstawą przetwarzania Pani/Pana danych osobowych*;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prowadzenia Rejestru Zapytań, co stanowi realizację obowiązku Administratora, określonego w art. 27 Ustawy o BIG*;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dotyczących zapytań, na podstawie Pani/Pana zgody, będącej podstawą przetwarzania Pani/Pana danych osobowych*;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interes </w:t>
            </w:r>
            <w:r w:rsidR="00EC14B7">
              <w:rPr>
                <w:sz w:val="17"/>
                <w:szCs w:val="17"/>
              </w:rPr>
              <w:t>Administratora</w:t>
            </w:r>
            <w:r>
              <w:rPr>
                <w:sz w:val="17"/>
                <w:szCs w:val="17"/>
              </w:rPr>
              <w:t>**.</w:t>
            </w:r>
          </w:p>
        </w:tc>
        <w:tc>
          <w:tcPr>
            <w:tcW w:w="2551" w:type="dxa"/>
            <w:gridSpan w:val="2"/>
          </w:tcPr>
          <w:p w:rsidR="00EC14B7" w:rsidRDefault="00EC14B7" w:rsidP="00EC14B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BIK i ZBP w celu udostępnienia danych gospodarczych, co stanowi uzasadniony interes Administratora danych, będący podstawą przetwarzania Pani/Pana danych osobowych*. </w:t>
            </w:r>
          </w:p>
          <w:p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rPr>
          <w:trHeight w:val="2585"/>
        </w:trPr>
        <w:tc>
          <w:tcPr>
            <w:tcW w:w="9889" w:type="dxa"/>
            <w:gridSpan w:val="8"/>
          </w:tcPr>
          <w:p w:rsidR="00EC14B7" w:rsidRDefault="00EC14B7" w:rsidP="00EC14B7">
            <w:pPr>
              <w:pStyle w:val="Default"/>
              <w:jc w:val="both"/>
              <w:rPr>
                <w:color w:val="auto"/>
              </w:rPr>
            </w:pP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nazwa*/imię i nazwisko**, NIP*, REGON*.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:rsidR="0094383E" w:rsidRP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Przysługuje Pani/Panu również prawo wniesienia skargi do organu nadzorczego zajmującego się ochroną danych osobowych*/**. </w:t>
            </w:r>
          </w:p>
        </w:tc>
      </w:tr>
    </w:tbl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D40569" w:rsidRP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</w:t>
      </w:r>
      <w:r w:rsidRPr="000F2DC3">
        <w:rPr>
          <w:rFonts w:ascii="Calibri" w:hAnsi="Calibri" w:cs="Arial"/>
          <w:b/>
          <w:sz w:val="16"/>
          <w:szCs w:val="16"/>
        </w:rPr>
        <w:t>ZASADY WYPEŁNIANIA UPOWAŻNIEŃ</w:t>
      </w: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427411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D40569" w:rsidRPr="0084321B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1. Na upoważnieniach obligatoryjnie są wymagane: nazwa, NIP i REGON.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2. Upoważnienie może zostać wypełnione ręcznie (wielkimi drukowanymi literami) lub pismem maszynowym, a przedsiębiorca pod upoważnieniem składa podpis oraz pieczęć.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3. 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</w:t>
            </w:r>
          </w:p>
          <w:p w:rsidR="00D40569" w:rsidRPr="0084321B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4. Jeżeli przedsiębiorca wykreśli w upoważnieniu wyrażenie „Jednocześnie upoważniam ww. przedsiębiorcę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F71D2B">
      <w:type w:val="continuous"/>
      <w:pgSz w:w="11906" w:h="16838"/>
      <w:pgMar w:top="709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89" w:rsidRDefault="00244289">
      <w:r>
        <w:separator/>
      </w:r>
    </w:p>
  </w:endnote>
  <w:endnote w:type="continuationSeparator" w:id="0">
    <w:p w:rsidR="00244289" w:rsidRDefault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89" w:rsidRDefault="00244289">
      <w:r>
        <w:separator/>
      </w:r>
    </w:p>
  </w:footnote>
  <w:footnote w:type="continuationSeparator" w:id="0">
    <w:p w:rsidR="00244289" w:rsidRDefault="0024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3331"/>
    <w:rsid w:val="00024814"/>
    <w:rsid w:val="0003360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2DC3"/>
    <w:rsid w:val="000F3401"/>
    <w:rsid w:val="00101FF1"/>
    <w:rsid w:val="00105D89"/>
    <w:rsid w:val="001140BA"/>
    <w:rsid w:val="001211D5"/>
    <w:rsid w:val="00140CEE"/>
    <w:rsid w:val="00155EBE"/>
    <w:rsid w:val="001615A8"/>
    <w:rsid w:val="00166A4A"/>
    <w:rsid w:val="00173178"/>
    <w:rsid w:val="001813E0"/>
    <w:rsid w:val="00184B54"/>
    <w:rsid w:val="00193A3F"/>
    <w:rsid w:val="001A5257"/>
    <w:rsid w:val="001B091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6EBC"/>
    <w:rsid w:val="00201D04"/>
    <w:rsid w:val="00204B6D"/>
    <w:rsid w:val="00215EFE"/>
    <w:rsid w:val="002170D8"/>
    <w:rsid w:val="002329C8"/>
    <w:rsid w:val="002414C2"/>
    <w:rsid w:val="00244289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1CBE"/>
    <w:rsid w:val="004221B1"/>
    <w:rsid w:val="004226D4"/>
    <w:rsid w:val="004260CB"/>
    <w:rsid w:val="00427411"/>
    <w:rsid w:val="0043473E"/>
    <w:rsid w:val="00436F20"/>
    <w:rsid w:val="00443898"/>
    <w:rsid w:val="00445850"/>
    <w:rsid w:val="00451505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1423"/>
    <w:rsid w:val="004C67D8"/>
    <w:rsid w:val="004E2756"/>
    <w:rsid w:val="004E3B2B"/>
    <w:rsid w:val="004F2438"/>
    <w:rsid w:val="004F35D0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047B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26F3"/>
    <w:rsid w:val="00633F24"/>
    <w:rsid w:val="006458D4"/>
    <w:rsid w:val="006479B7"/>
    <w:rsid w:val="00651DFC"/>
    <w:rsid w:val="00656956"/>
    <w:rsid w:val="00656F3E"/>
    <w:rsid w:val="00666582"/>
    <w:rsid w:val="0067154D"/>
    <w:rsid w:val="006716BC"/>
    <w:rsid w:val="00671DE8"/>
    <w:rsid w:val="00673A07"/>
    <w:rsid w:val="00684AF0"/>
    <w:rsid w:val="006855F3"/>
    <w:rsid w:val="0068733C"/>
    <w:rsid w:val="006906AF"/>
    <w:rsid w:val="00690852"/>
    <w:rsid w:val="00690DFA"/>
    <w:rsid w:val="00692985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3C05"/>
    <w:rsid w:val="008144B3"/>
    <w:rsid w:val="00820F9D"/>
    <w:rsid w:val="00830AF9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B0078C"/>
    <w:rsid w:val="00B01C45"/>
    <w:rsid w:val="00B05047"/>
    <w:rsid w:val="00B0645A"/>
    <w:rsid w:val="00B10862"/>
    <w:rsid w:val="00B1099F"/>
    <w:rsid w:val="00B17F41"/>
    <w:rsid w:val="00B205A2"/>
    <w:rsid w:val="00B26A50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45B"/>
    <w:rsid w:val="00BE7C52"/>
    <w:rsid w:val="00BF03FE"/>
    <w:rsid w:val="00BF2DE0"/>
    <w:rsid w:val="00BF38C9"/>
    <w:rsid w:val="00C0765E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02BA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6046"/>
    <w:rsid w:val="00CE3A5E"/>
    <w:rsid w:val="00CE6211"/>
    <w:rsid w:val="00CF0645"/>
    <w:rsid w:val="00D00C63"/>
    <w:rsid w:val="00D02488"/>
    <w:rsid w:val="00D0370C"/>
    <w:rsid w:val="00D053F2"/>
    <w:rsid w:val="00D1383E"/>
    <w:rsid w:val="00D20FF6"/>
    <w:rsid w:val="00D21756"/>
    <w:rsid w:val="00D25D5A"/>
    <w:rsid w:val="00D3378F"/>
    <w:rsid w:val="00D40569"/>
    <w:rsid w:val="00D40809"/>
    <w:rsid w:val="00D46952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2035"/>
    <w:rsid w:val="00E6740E"/>
    <w:rsid w:val="00E8526B"/>
    <w:rsid w:val="00E86A4C"/>
    <w:rsid w:val="00EA65F2"/>
    <w:rsid w:val="00EA71E8"/>
    <w:rsid w:val="00EB2049"/>
    <w:rsid w:val="00EC14B7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1A73"/>
    <w:rsid w:val="00F529B3"/>
    <w:rsid w:val="00F537CA"/>
    <w:rsid w:val="00F53986"/>
    <w:rsid w:val="00F5556C"/>
    <w:rsid w:val="00F62ADF"/>
    <w:rsid w:val="00F65AD0"/>
    <w:rsid w:val="00F70A6F"/>
    <w:rsid w:val="00F71D2B"/>
    <w:rsid w:val="00F72823"/>
    <w:rsid w:val="00F7333E"/>
    <w:rsid w:val="00F86888"/>
    <w:rsid w:val="00F875B2"/>
    <w:rsid w:val="00F95397"/>
    <w:rsid w:val="00FA0751"/>
    <w:rsid w:val="00FB11C2"/>
    <w:rsid w:val="00FB4E28"/>
    <w:rsid w:val="00FC0909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  <w15:docId w15:val="{939F625F-BDB1-4C28-B41C-E9A8EF4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03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kontakt@zbp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E2BE4493-E19F-481C-82C9-7E5088C217D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8B48930A-9901-49B6-823B-FCD0330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Joanna</cp:lastModifiedBy>
  <cp:revision>2</cp:revision>
  <cp:lastPrinted>2019-12-12T13:00:00Z</cp:lastPrinted>
  <dcterms:created xsi:type="dcterms:W3CDTF">2022-08-04T07:45:00Z</dcterms:created>
  <dcterms:modified xsi:type="dcterms:W3CDTF">2022-08-04T07:45:00Z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